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78" w:rsidRPr="00960C42" w:rsidRDefault="00354178" w:rsidP="000A67F5">
      <w:pPr>
        <w:jc w:val="center"/>
      </w:pPr>
      <w:bookmarkStart w:id="0" w:name="_GoBack"/>
      <w:bookmarkEnd w:id="0"/>
      <w:r w:rsidRPr="00960C42">
        <w:t xml:space="preserve">A </w:t>
      </w:r>
      <w:r w:rsidRPr="00744664">
        <w:rPr>
          <w:b/>
        </w:rPr>
        <w:t>3</w:t>
      </w:r>
      <w:r w:rsidRPr="00960C42">
        <w:t xml:space="preserve">, </w:t>
      </w:r>
      <w:r w:rsidRPr="00744664">
        <w:rPr>
          <w:b/>
        </w:rPr>
        <w:t>APPROACHING MASTERY</w:t>
      </w:r>
      <w:r w:rsidRPr="00960C42">
        <w:t xml:space="preserve">, HAS ELEMENTS OF BOTH A </w:t>
      </w:r>
      <w:r w:rsidRPr="00744664">
        <w:rPr>
          <w:b/>
        </w:rPr>
        <w:t>2</w:t>
      </w:r>
      <w:r w:rsidRPr="00960C42">
        <w:t xml:space="preserve"> AND A </w:t>
      </w:r>
      <w:r w:rsidRPr="00744664">
        <w:rPr>
          <w:b/>
        </w:rPr>
        <w:t>4</w:t>
      </w:r>
    </w:p>
    <w:tbl>
      <w:tblPr>
        <w:tblpPr w:leftFromText="180" w:rightFromText="180" w:vertAnchor="text" w:horzAnchor="margin" w:tblpXSpec="center" w:tblpY="-719"/>
        <w:tblW w:w="14238" w:type="dxa"/>
        <w:tblLayout w:type="fixed"/>
        <w:tblLook w:val="0000"/>
      </w:tblPr>
      <w:tblGrid>
        <w:gridCol w:w="1368"/>
        <w:gridCol w:w="2777"/>
        <w:gridCol w:w="283"/>
        <w:gridCol w:w="2777"/>
        <w:gridCol w:w="360"/>
        <w:gridCol w:w="3150"/>
        <w:gridCol w:w="103"/>
        <w:gridCol w:w="180"/>
        <w:gridCol w:w="3240"/>
      </w:tblGrid>
      <w:tr w:rsidR="00354178" w:rsidRPr="00960C42" w:rsidTr="000A67F5">
        <w:trPr>
          <w:cantSplit/>
          <w:trHeight w:val="350"/>
        </w:trPr>
        <w:tc>
          <w:tcPr>
            <w:tcW w:w="1368" w:type="dxa"/>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Scoring Elements</w:t>
            </w:r>
          </w:p>
        </w:tc>
        <w:tc>
          <w:tcPr>
            <w:tcW w:w="27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No Mastery</w:t>
            </w:r>
          </w:p>
        </w:tc>
        <w:tc>
          <w:tcPr>
            <w:tcW w:w="306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Partial Mastery</w:t>
            </w:r>
          </w:p>
        </w:tc>
        <w:tc>
          <w:tcPr>
            <w:tcW w:w="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AM</w:t>
            </w:r>
          </w:p>
        </w:tc>
        <w:tc>
          <w:tcPr>
            <w:tcW w:w="325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Mastery</w:t>
            </w:r>
          </w:p>
        </w:tc>
        <w:tc>
          <w:tcPr>
            <w:tcW w:w="3420"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Pr>
                <w:rFonts w:ascii="Times New Roman" w:hAnsi="Arial Unicode MS"/>
                <w:color w:val="auto"/>
                <w:sz w:val="18"/>
                <w:szCs w:val="18"/>
              </w:rPr>
              <w:t>Exceptional</w:t>
            </w:r>
          </w:p>
        </w:tc>
      </w:tr>
      <w:tr w:rsidR="00354178" w:rsidRPr="00960C42" w:rsidTr="000A67F5">
        <w:trPr>
          <w:cantSplit/>
          <w:trHeight w:val="350"/>
        </w:trPr>
        <w:tc>
          <w:tcPr>
            <w:tcW w:w="1368" w:type="dxa"/>
            <w:vMerge/>
            <w:tcBorders>
              <w:top w:val="single" w:sz="4" w:space="0" w:color="808080"/>
              <w:left w:val="single" w:sz="4" w:space="0" w:color="808080"/>
              <w:bottom w:val="single" w:sz="4" w:space="0" w:color="808080"/>
              <w:right w:val="single" w:sz="4" w:space="0" w:color="808080"/>
            </w:tcBorders>
            <w:shd w:val="clear" w:color="auto" w:fill="FFFFFF"/>
          </w:tcPr>
          <w:p w:rsidR="00354178" w:rsidRPr="00960C42" w:rsidRDefault="00354178" w:rsidP="00F15ADC">
            <w:pPr>
              <w:rPr>
                <w:rFonts w:ascii="Helvetica" w:eastAsia="Arial Unicode MS" w:hAnsi="Helvetica"/>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1</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1.5</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2</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3</w:t>
            </w: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4</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4.5</w:t>
            </w: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5</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Focus: WS1</w:t>
            </w:r>
          </w:p>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WS1e</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address prompt, but lacks focus or is off-task.</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Addresses prompt appropriately and establishes a position, but focus is uneven.</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Addresses prompt appropriately and maintains a clear, steady focus. Provides a generally convincing position.</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Addresses all aspects of prompt appropriately with a consistently strong focus and convincing position.</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Controlling Idea</w:t>
            </w:r>
          </w:p>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WS1a</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establish a claim, but lacks a clear purpose. (L2) Makes no mention of counter claims.</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 xml:space="preserve">Establishes a claim. (L2) Makes note of counter claims. </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Establishes a credible claim. (L2) Develops claim and counter claims fairly.</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Establishes and maintains a substantive and credible claim or proposal. (L2) Develops claims and counter claims fairly and thoroughly.</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Reading/ Research</w:t>
            </w:r>
          </w:p>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WS1b</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reference reading materials to develop response, but lacks connections or relevance to the purpose of the prompt.</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 xml:space="preserve">Presents information from reading materials relevant to the purpose of the prompt with minor lapses in accuracy or completeness. </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Accurately presents details from reading materials relevant to the purpose of the prompt to develop argument or claim.</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Accurately and effectively presents important details from reading materials to develop argument or claim.</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Development</w:t>
            </w:r>
          </w:p>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WS1b</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provide details in response to the prompt, but lacks sufficient development or relevance to the purpose of the prompt. (L3) Makes no connections or a connection that is irrelevant to argument or claim.</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Presents appropriate and sufficient details to support and develop the focus, controlling idea, or claim. (L3) Makes a relevant connection to clarify argument or claim.</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Presents thorough and detailed information to effectively support and develop the focus, controlling idea, or claim. (L3) Makes a clarifying connection(s) that illuminates argument and adds depth to reasoning.</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Organization</w:t>
            </w:r>
          </w:p>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WS1c</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organize ideas, but lacks control of structure.</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Uses an appropriate organizational structure for development of reasoning and logic, with minor lapses in structure and/or coherence.</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Maintains an appropriate organizational structure to address specific requirements of the prompt. Structure reveals the reasoning and logic of the argument.</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Conventions: WS1d</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demonstrate standard English conventions, but lacks cohesion and control of grammar, usage, and mechanics. Sources are used without citation.</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jc w:val="center"/>
              <w:rPr>
                <w:rFonts w:ascii="Times New Roman" w:hAnsi="Times New Roman"/>
                <w:color w:val="auto"/>
                <w:sz w:val="18"/>
                <w:szCs w:val="18"/>
              </w:rPr>
            </w:pPr>
            <w:r w:rsidRPr="00960C42">
              <w:rPr>
                <w:rFonts w:ascii="Times New Roman" w:hAnsi="Arial Unicode MS"/>
                <w:color w:val="auto"/>
                <w:sz w:val="18"/>
                <w:szCs w:val="18"/>
              </w:rPr>
              <w:t xml:space="preserve">Demonstrates an uneven command of standard English conventions and cohesion. </w:t>
            </w:r>
          </w:p>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Uses language and tone with some inaccurate, inappropriate, or uneven features. Inconsistently cites sources.</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354178" w:rsidRPr="00960C42" w:rsidTr="000A67F5">
        <w:trPr>
          <w:cantSplit/>
          <w:trHeight w:val="350"/>
        </w:trPr>
        <w:tc>
          <w:tcPr>
            <w:tcW w:w="1368"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b/>
                <w:color w:val="auto"/>
                <w:sz w:val="18"/>
                <w:szCs w:val="18"/>
              </w:rPr>
            </w:pPr>
            <w:r w:rsidRPr="00960C42">
              <w:rPr>
                <w:rFonts w:ascii="Times New Roman" w:hAnsi="Arial Unicode MS"/>
                <w:b/>
                <w:color w:val="auto"/>
                <w:sz w:val="18"/>
                <w:szCs w:val="18"/>
              </w:rPr>
              <w:t>Content Understanding: WS1d</w:t>
            </w: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Attempts to include disciplinary content in argument, but understanding of content is weak; content is irrelevant, inappropriate, or inaccurate.</w:t>
            </w:r>
          </w:p>
        </w:tc>
        <w:tc>
          <w:tcPr>
            <w:tcW w:w="283"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2777"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Briefly notes disciplinary content relevant to the prompt; shows basic or uneven understanding of content; minor errors in explanation.</w:t>
            </w:r>
          </w:p>
        </w:tc>
        <w:tc>
          <w:tcPr>
            <w:tcW w:w="36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15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Accurately presents disciplinary content relevant to the prompt with sufficient explanations that demonstrate understanding.</w:t>
            </w:r>
          </w:p>
        </w:tc>
        <w:tc>
          <w:tcPr>
            <w:tcW w:w="283"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rPr>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tcMar>
              <w:top w:w="80" w:type="dxa"/>
              <w:left w:w="0" w:type="dxa"/>
              <w:bottom w:w="80" w:type="dxa"/>
              <w:right w:w="0" w:type="dxa"/>
            </w:tcMar>
            <w:vAlign w:val="center"/>
          </w:tcPr>
          <w:p w:rsidR="00354178" w:rsidRPr="00960C42" w:rsidRDefault="00354178" w:rsidP="00F15ADC">
            <w:pPr>
              <w:pStyle w:val="Body1"/>
              <w:outlineLvl w:val="9"/>
              <w:rPr>
                <w:rFonts w:ascii="Times New Roman" w:hAnsi="Arial Unicode MS"/>
                <w:color w:val="auto"/>
                <w:sz w:val="18"/>
                <w:szCs w:val="18"/>
              </w:rPr>
            </w:pPr>
            <w:r w:rsidRPr="00960C42">
              <w:rPr>
                <w:rFonts w:ascii="Times New Roman" w:hAnsi="Arial Unicode MS"/>
                <w:color w:val="auto"/>
                <w:sz w:val="18"/>
                <w:szCs w:val="18"/>
              </w:rPr>
              <w:t>Integrates relevant and accurate disciplinary content with thorough explanations that demonstrate in-depth understanding.</w:t>
            </w:r>
          </w:p>
        </w:tc>
      </w:tr>
    </w:tbl>
    <w:p w:rsidR="00354178" w:rsidRPr="00960C42" w:rsidRDefault="00354178" w:rsidP="00F15ADC">
      <w:pPr>
        <w:rPr>
          <w:sz w:val="18"/>
          <w:szCs w:val="18"/>
        </w:rPr>
      </w:pPr>
    </w:p>
    <w:sectPr w:rsidR="00354178" w:rsidRPr="00960C42" w:rsidSect="008C41A0">
      <w:headerReference w:type="default" r:id="rId6"/>
      <w:pgSz w:w="15840" w:h="12240" w:orient="landscape"/>
      <w:pgMar w:top="1440" w:right="1440" w:bottom="36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78" w:rsidRDefault="00354178" w:rsidP="008C41A0">
      <w:r>
        <w:separator/>
      </w:r>
    </w:p>
  </w:endnote>
  <w:endnote w:type="continuationSeparator" w:id="0">
    <w:p w:rsidR="00354178" w:rsidRDefault="00354178" w:rsidP="008C4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78" w:rsidRDefault="00354178" w:rsidP="008C41A0">
      <w:r>
        <w:separator/>
      </w:r>
    </w:p>
  </w:footnote>
  <w:footnote w:type="continuationSeparator" w:id="0">
    <w:p w:rsidR="00354178" w:rsidRDefault="00354178" w:rsidP="008C4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78" w:rsidRPr="008C41A0" w:rsidRDefault="00354178" w:rsidP="008C41A0">
    <w:pPr>
      <w:pStyle w:val="Header"/>
      <w:jc w:val="center"/>
      <w:rPr>
        <w:sz w:val="28"/>
        <w:szCs w:val="28"/>
        <w:u w:val="single"/>
      </w:rPr>
    </w:pPr>
    <w:r w:rsidRPr="008C41A0">
      <w:rPr>
        <w:sz w:val="28"/>
        <w:szCs w:val="28"/>
        <w:u w:val="single"/>
      </w:rPr>
      <w:t>Argumentation Rubric</w:t>
    </w:r>
  </w:p>
  <w:p w:rsidR="00354178" w:rsidRDefault="00354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ADC"/>
    <w:rsid w:val="000A67F5"/>
    <w:rsid w:val="00184BA1"/>
    <w:rsid w:val="00333714"/>
    <w:rsid w:val="00354178"/>
    <w:rsid w:val="003D08C3"/>
    <w:rsid w:val="004A40D8"/>
    <w:rsid w:val="004A715C"/>
    <w:rsid w:val="005B1766"/>
    <w:rsid w:val="005F527C"/>
    <w:rsid w:val="005F6A0B"/>
    <w:rsid w:val="00652536"/>
    <w:rsid w:val="006C783C"/>
    <w:rsid w:val="00744664"/>
    <w:rsid w:val="008C41A0"/>
    <w:rsid w:val="00943E54"/>
    <w:rsid w:val="00947F05"/>
    <w:rsid w:val="00960C42"/>
    <w:rsid w:val="00A810C7"/>
    <w:rsid w:val="00AD5462"/>
    <w:rsid w:val="00B37651"/>
    <w:rsid w:val="00C40E89"/>
    <w:rsid w:val="00D231EA"/>
    <w:rsid w:val="00D579F4"/>
    <w:rsid w:val="00F15ADC"/>
    <w:rsid w:val="00F16306"/>
    <w:rsid w:val="00F962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D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F15ADC"/>
    <w:pPr>
      <w:outlineLvl w:val="0"/>
    </w:pPr>
    <w:rPr>
      <w:rFonts w:ascii="Helvetica" w:eastAsia="Arial Unicode MS" w:hAnsi="Helvetica"/>
      <w:color w:val="000000"/>
      <w:sz w:val="24"/>
      <w:szCs w:val="20"/>
      <w:u w:color="000000"/>
    </w:rPr>
  </w:style>
  <w:style w:type="paragraph" w:styleId="Header">
    <w:name w:val="header"/>
    <w:basedOn w:val="Normal"/>
    <w:link w:val="HeaderChar"/>
    <w:uiPriority w:val="99"/>
    <w:rsid w:val="008C41A0"/>
    <w:pPr>
      <w:tabs>
        <w:tab w:val="center" w:pos="4680"/>
        <w:tab w:val="right" w:pos="9360"/>
      </w:tabs>
    </w:pPr>
  </w:style>
  <w:style w:type="character" w:customStyle="1" w:styleId="HeaderChar">
    <w:name w:val="Header Char"/>
    <w:basedOn w:val="DefaultParagraphFont"/>
    <w:link w:val="Header"/>
    <w:uiPriority w:val="99"/>
    <w:locked/>
    <w:rsid w:val="008C41A0"/>
    <w:rPr>
      <w:rFonts w:ascii="Times New Roman" w:hAnsi="Times New Roman" w:cs="Times New Roman"/>
      <w:sz w:val="24"/>
      <w:szCs w:val="24"/>
    </w:rPr>
  </w:style>
  <w:style w:type="paragraph" w:styleId="Footer">
    <w:name w:val="footer"/>
    <w:basedOn w:val="Normal"/>
    <w:link w:val="FooterChar"/>
    <w:uiPriority w:val="99"/>
    <w:rsid w:val="008C41A0"/>
    <w:pPr>
      <w:tabs>
        <w:tab w:val="center" w:pos="4680"/>
        <w:tab w:val="right" w:pos="9360"/>
      </w:tabs>
    </w:pPr>
  </w:style>
  <w:style w:type="character" w:customStyle="1" w:styleId="FooterChar">
    <w:name w:val="Footer Char"/>
    <w:basedOn w:val="DefaultParagraphFont"/>
    <w:link w:val="Footer"/>
    <w:uiPriority w:val="99"/>
    <w:locked/>
    <w:rsid w:val="008C41A0"/>
    <w:rPr>
      <w:rFonts w:ascii="Times New Roman" w:hAnsi="Times New Roman" w:cs="Times New Roman"/>
      <w:sz w:val="24"/>
      <w:szCs w:val="24"/>
    </w:rPr>
  </w:style>
  <w:style w:type="paragraph" w:styleId="BalloonText">
    <w:name w:val="Balloon Text"/>
    <w:basedOn w:val="Normal"/>
    <w:link w:val="BalloonTextChar"/>
    <w:uiPriority w:val="99"/>
    <w:semiHidden/>
    <w:rsid w:val="008C41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650</Words>
  <Characters>3707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3, APPROACHING MASTERY, HAS ELEMENTS OF BOTH A 2 AND A 4</dc:title>
  <dc:subject/>
  <dc:creator>Mau, Joseph - EJHS Teacher</dc:creator>
  <cp:keywords/>
  <dc:description/>
  <cp:lastModifiedBy>Kelly</cp:lastModifiedBy>
  <cp:revision>2</cp:revision>
  <cp:lastPrinted>2012-02-27T13:55:00Z</cp:lastPrinted>
  <dcterms:created xsi:type="dcterms:W3CDTF">2014-06-23T15:09:00Z</dcterms:created>
  <dcterms:modified xsi:type="dcterms:W3CDTF">2014-06-23T15:09:00Z</dcterms:modified>
</cp:coreProperties>
</file>